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C" w:rsidRDefault="009B6794" w:rsidP="00E1070C">
      <w:pPr>
        <w:autoSpaceDE w:val="0"/>
        <w:autoSpaceDN w:val="0"/>
        <w:adjustRightInd w:val="0"/>
        <w:spacing w:after="0" w:line="240" w:lineRule="auto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</w:t>
      </w:r>
      <w:r w:rsidR="00E1070C">
        <w:rPr>
          <w:rFonts w:ascii="CapitalsRegular" w:hAnsi="CapitalsRegular" w:cs="CapitalsRegular"/>
          <w:color w:val="000081"/>
          <w:sz w:val="36"/>
        </w:rPr>
        <w:t xml:space="preserve"> de situations qui posent un problème à résoudre</w:t>
      </w:r>
      <w:r w:rsidR="00E1070C">
        <w:rPr>
          <w:rFonts w:ascii="CapitalsRegular" w:hAnsi="CapitalsRegular" w:cs="CapitalsRegular"/>
          <w:color w:val="000081"/>
          <w:sz w:val="36"/>
        </w:rPr>
        <w:br/>
        <w:t>2</w:t>
      </w:r>
      <w:r w:rsidR="00E1070C" w:rsidRPr="005E3AAE">
        <w:rPr>
          <w:rFonts w:ascii="CapitalsRegular" w:hAnsi="CapitalsRegular" w:cs="CapitalsRegular"/>
          <w:color w:val="000081"/>
          <w:sz w:val="36"/>
          <w:vertAlign w:val="superscript"/>
        </w:rPr>
        <w:t>nde</w:t>
      </w:r>
      <w:r w:rsidR="00E1070C">
        <w:rPr>
          <w:rFonts w:ascii="CapitalsRegular" w:hAnsi="CapitalsRegular" w:cs="CapitalsRegular"/>
          <w:color w:val="000081"/>
          <w:sz w:val="36"/>
        </w:rPr>
        <w:t xml:space="preserve"> </w:t>
      </w:r>
      <w:proofErr w:type="spellStart"/>
      <w:r w:rsidR="00E1070C">
        <w:rPr>
          <w:rFonts w:ascii="CapitalsRegular" w:hAnsi="CapitalsRegular" w:cs="CapitalsRegular"/>
          <w:color w:val="000081"/>
          <w:sz w:val="36"/>
        </w:rPr>
        <w:t>BacPro</w:t>
      </w:r>
      <w:proofErr w:type="spellEnd"/>
    </w:p>
    <w:tbl>
      <w:tblPr>
        <w:tblpPr w:leftFromText="141" w:rightFromText="141" w:vertAnchor="page" w:horzAnchor="margin" w:tblpY="3151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8D4DE1" w:rsidRPr="005845CB" w:rsidTr="008D4DE1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8D4DE1" w:rsidRPr="005F2002" w:rsidRDefault="008D4DE1" w:rsidP="002E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2E4B87">
              <w:rPr>
                <w:rFonts w:ascii="EurostileRegular" w:hAnsi="EurostileRegular" w:cs="EurostileRegular"/>
                <w:sz w:val="24"/>
              </w:rPr>
              <w:t>La planche de Galton</w:t>
            </w: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</w:pP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Thématiques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(Vie sociale et loisirs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)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BE1C4E">
              <w:rPr>
                <w:rFonts w:ascii="EurostileRegular" w:hAnsi="EurostileRegular" w:cs="EurostileRegular"/>
                <w:sz w:val="24"/>
              </w:rPr>
              <w:t>Jouer avec le hasard</w:t>
            </w:r>
            <w:r>
              <w:rPr>
                <w:rFonts w:ascii="EurostileRegular" w:hAnsi="EurostileRegular" w:cs="EurostileRegular"/>
                <w:sz w:val="24"/>
              </w:rPr>
              <w:t>.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8D4DE1" w:rsidRPr="005845CB" w:rsidTr="008D4DE1">
        <w:trPr>
          <w:trHeight w:val="391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Modules abordés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8D4DE1" w:rsidRPr="008D4DE1" w:rsidRDefault="008D4DE1" w:rsidP="00BE1C4E">
            <w:pPr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 w:cs="EurostileRegular"/>
                <w:sz w:val="24"/>
                <w:szCs w:val="24"/>
              </w:rPr>
              <w:t xml:space="preserve">: </w:t>
            </w:r>
            <w:r w:rsidR="00BE1C4E">
              <w:rPr>
                <w:rFonts w:ascii="EurostileRegular" w:hAnsi="EurostileRegular"/>
                <w:sz w:val="24"/>
                <w:szCs w:val="24"/>
              </w:rPr>
              <w:t>1.2 Fluctuations d’une fréquence selon les échantillons, probabilités</w:t>
            </w: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8D4DE1" w:rsidRPr="00FB564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  <w:u w:val="single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5F2002">
              <w:rPr>
                <w:rFonts w:ascii="EurostileRegular" w:hAnsi="EurostileRegular" w:cs="EurostileRegular"/>
                <w:sz w:val="24"/>
                <w:u w:val="single"/>
              </w:rPr>
              <w:t>Voir le sujet</w:t>
            </w: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8D4DE1" w:rsidRPr="005F2002" w:rsidRDefault="008D4DE1" w:rsidP="009C3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>: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  <w:t xml:space="preserve"> </w:t>
            </w:r>
            <w:r w:rsidR="000C6070">
              <w:rPr>
                <w:rFonts w:ascii="EurostileRegular" w:hAnsi="EurostileRegular" w:cs="EurostileRegular"/>
                <w:sz w:val="24"/>
              </w:rPr>
              <w:t>deux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 heure</w:t>
            </w:r>
            <w:r w:rsidR="000C6070">
              <w:rPr>
                <w:rFonts w:ascii="EurostileRegular" w:hAnsi="EurostileRegular" w:cs="EurostileRegular"/>
                <w:sz w:val="24"/>
              </w:rPr>
              <w:t>s</w:t>
            </w:r>
            <w:r>
              <w:rPr>
                <w:rFonts w:ascii="EurostileRegular" w:hAnsi="EurostileRegular" w:cs="EurostileRegular"/>
                <w:sz w:val="24"/>
              </w:rPr>
              <w:t xml:space="preserve"> environ</w:t>
            </w:r>
            <w:r w:rsidR="009C3039">
              <w:rPr>
                <w:rFonts w:ascii="EurostileRegular" w:hAnsi="EurostileRegular" w:cs="EurostileRegular"/>
                <w:sz w:val="24"/>
              </w:rPr>
              <w:t xml:space="preserve"> (une en classe entière, une en demi-groupe)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br w:type="page"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A37244" w:rsidRDefault="00A37244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A37244" w:rsidRDefault="00A37244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8D4DE1" w:rsidRPr="00B31469" w:rsidRDefault="008D4DE1" w:rsidP="008D4DE1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 w:cs="EurostileRegular"/>
                <w:sz w:val="24"/>
                <w:szCs w:val="24"/>
              </w:rPr>
              <w:t xml:space="preserve">: </w:t>
            </w:r>
            <w:r w:rsidR="00A37244">
              <w:rPr>
                <w:rFonts w:ascii="EurostileRegular" w:hAnsi="EurostileRegular"/>
                <w:sz w:val="24"/>
                <w:szCs w:val="24"/>
              </w:rPr>
              <w:t xml:space="preserve">Expérimenter, d’abord à l’aide de billes, puis à l’aide d’une simulation informatique prête à l’emploi, la prise d’échantillons aléatoires de taille </w:t>
            </w:r>
            <w:r w:rsidR="00A37244">
              <w:rPr>
                <w:rFonts w:ascii="EurostileRegular" w:hAnsi="EurostileRegular"/>
                <w:i/>
                <w:sz w:val="24"/>
                <w:szCs w:val="24"/>
              </w:rPr>
              <w:t>n</w:t>
            </w:r>
            <w:r w:rsidR="00A37244">
              <w:rPr>
                <w:rFonts w:ascii="EurostileRegular" w:hAnsi="EurostileRegular"/>
                <w:sz w:val="24"/>
                <w:szCs w:val="24"/>
              </w:rPr>
              <w:t xml:space="preserve"> fixée, extraits d’une population où la fréquence </w:t>
            </w:r>
            <w:r w:rsidR="00A37244">
              <w:rPr>
                <w:rFonts w:ascii="EurostileRegular" w:hAnsi="EurostileRegular"/>
                <w:i/>
                <w:sz w:val="24"/>
                <w:szCs w:val="24"/>
              </w:rPr>
              <w:t xml:space="preserve">p </w:t>
            </w:r>
            <w:r w:rsidR="00A37244" w:rsidRPr="00A37244">
              <w:rPr>
                <w:rFonts w:ascii="EurostileRegular" w:hAnsi="EurostileRegular"/>
                <w:sz w:val="24"/>
                <w:szCs w:val="24"/>
              </w:rPr>
              <w:t>relative à un caractère</w:t>
            </w:r>
            <w:r w:rsidR="00A37244">
              <w:rPr>
                <w:rFonts w:ascii="EurostileRegular" w:hAnsi="EurostileRegular"/>
                <w:i/>
                <w:sz w:val="24"/>
                <w:szCs w:val="24"/>
              </w:rPr>
              <w:t xml:space="preserve"> </w:t>
            </w:r>
            <w:r w:rsidR="00A37244" w:rsidRPr="00A37244">
              <w:rPr>
                <w:rFonts w:ascii="EurostileRegular" w:hAnsi="EurostileRegular"/>
                <w:sz w:val="24"/>
                <w:szCs w:val="24"/>
              </w:rPr>
              <w:t>est connue</w:t>
            </w:r>
            <w:r w:rsidR="00A37244">
              <w:rPr>
                <w:rFonts w:ascii="EurostileRegular" w:hAnsi="EurostileRegular"/>
                <w:i/>
                <w:sz w:val="24"/>
                <w:szCs w:val="24"/>
              </w:rPr>
              <w:t>.</w:t>
            </w:r>
          </w:p>
          <w:p w:rsidR="008D4DE1" w:rsidRPr="00B31469" w:rsidRDefault="008D4DE1" w:rsidP="008D4DE1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A37244">
              <w:rPr>
                <w:rFonts w:ascii="EurostileRegular" w:hAnsi="EurostileRegular"/>
                <w:sz w:val="24"/>
                <w:szCs w:val="24"/>
              </w:rPr>
              <w:t>Evaluer la probabilité d’un événement à partir des fréquences</w:t>
            </w:r>
            <w:r w:rsidRPr="00B31469">
              <w:rPr>
                <w:rFonts w:ascii="EurostileRegular" w:hAnsi="EurostileRegular"/>
                <w:sz w:val="24"/>
                <w:szCs w:val="24"/>
              </w:rPr>
              <w:t>.</w:t>
            </w:r>
          </w:p>
          <w:p w:rsidR="008D4DE1" w:rsidRPr="00B31469" w:rsidRDefault="008D4DE1" w:rsidP="008D4DE1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A37244">
              <w:rPr>
                <w:rFonts w:ascii="EurostileRegular" w:hAnsi="EurostileRegular"/>
                <w:sz w:val="24"/>
                <w:szCs w:val="24"/>
              </w:rPr>
              <w:t>Faire preuve d’esprit critique face à une situation aléatoire simple</w:t>
            </w:r>
            <w:r w:rsidRPr="00B31469">
              <w:rPr>
                <w:rFonts w:ascii="EurostileRegular" w:hAnsi="EurostileRegular"/>
                <w:sz w:val="24"/>
                <w:szCs w:val="24"/>
              </w:rPr>
              <w:t>.</w:t>
            </w:r>
          </w:p>
          <w:p w:rsidR="008D4DE1" w:rsidRPr="00B31469" w:rsidRDefault="008D4DE1" w:rsidP="008D4DE1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8D4DE1" w:rsidRPr="00A37244" w:rsidRDefault="008D4DE1" w:rsidP="008D4DE1">
            <w:pPr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Tirage au hasard et avec remise de </w:t>
            </w:r>
            <w:r w:rsidR="00A37244">
              <w:rPr>
                <w:rFonts w:ascii="EurostileRegular" w:hAnsi="EurostileRegular" w:cs="EurostileRegular"/>
                <w:i/>
                <w:sz w:val="24"/>
              </w:rPr>
              <w:t>n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 éléments dans une population où la fréquence </w:t>
            </w:r>
            <w:r w:rsidR="00A37244">
              <w:rPr>
                <w:rFonts w:ascii="EurostileRegular" w:hAnsi="EurostileRegular" w:cs="EurostileRegular"/>
                <w:i/>
                <w:sz w:val="24"/>
              </w:rPr>
              <w:t>p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 relative à un caractère est connue.</w:t>
            </w:r>
          </w:p>
          <w:p w:rsidR="008D4DE1" w:rsidRPr="00B31469" w:rsidRDefault="008D4DE1" w:rsidP="008D4DE1">
            <w:pPr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Fluctuation d’une fréquence relative à un caractère, sur des échantillons de taille </w:t>
            </w:r>
            <w:r w:rsidR="00A37244">
              <w:rPr>
                <w:rFonts w:ascii="EurostileRegular" w:hAnsi="EurostileRegular" w:cs="EurostileRegular"/>
                <w:i/>
                <w:sz w:val="24"/>
              </w:rPr>
              <w:t>n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 fixée</w:t>
            </w:r>
            <w:r w:rsidRPr="00B31469">
              <w:rPr>
                <w:rFonts w:ascii="EurostileRegular" w:hAnsi="EurostileRegular" w:cs="EurostileRegular"/>
                <w:sz w:val="24"/>
              </w:rPr>
              <w:t>.</w:t>
            </w:r>
          </w:p>
          <w:p w:rsidR="008D4DE1" w:rsidRPr="00A37244" w:rsidRDefault="008D4DE1" w:rsidP="008D4DE1">
            <w:pPr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Stabilisation relative des fréquences vers la probabilité de l’événement quand </w:t>
            </w:r>
            <w:r w:rsidR="00A37244">
              <w:rPr>
                <w:rFonts w:ascii="EurostileRegular" w:hAnsi="EurostileRegular" w:cs="EurostileRegular"/>
                <w:i/>
                <w:sz w:val="24"/>
              </w:rPr>
              <w:t>n</w:t>
            </w:r>
            <w:r w:rsidR="00A37244">
              <w:rPr>
                <w:rFonts w:ascii="EurostileRegular" w:hAnsi="EurostileRegular" w:cs="EurostileRegular"/>
                <w:sz w:val="24"/>
              </w:rPr>
              <w:t xml:space="preserve"> augmente.</w:t>
            </w:r>
          </w:p>
          <w:p w:rsidR="008D4DE1" w:rsidRPr="00B31469" w:rsidRDefault="008D4DE1" w:rsidP="008D4DE1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8D4DE1" w:rsidRPr="005F2002" w:rsidRDefault="00FC6189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ATTITUDE</w:t>
            </w:r>
            <w:r w:rsidR="008D4DE1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S 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A5861" w:rsidRDefault="00BA586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A5861" w:rsidRDefault="00BA586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SITUATIONS FAVORABLES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 L’UTILISATION DES TIC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FE4086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  <w:r w:rsidRPr="00FE4086"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  <w:t>Formes possibles de l’activité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FC6189" w:rsidRDefault="00FC6189" w:rsidP="00FC6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r>
              <w:rPr>
                <w:rFonts w:ascii="EurostileRegular" w:hAnsi="EurostileRegular"/>
                <w:sz w:val="24"/>
                <w:szCs w:val="24"/>
              </w:rPr>
              <w:t>: le sens de l’observation</w:t>
            </w:r>
          </w:p>
          <w:p w:rsidR="00FC6189" w:rsidRDefault="00FC6189" w:rsidP="00FC6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>
              <w:rPr>
                <w:rFonts w:ascii="EurostileRegular" w:hAnsi="EurostileRegular"/>
                <w:sz w:val="24"/>
                <w:szCs w:val="24"/>
              </w:rPr>
              <w:t>l’ouverture à la communication, au dialogue et au débat argumenté</w:t>
            </w:r>
          </w:p>
          <w:p w:rsidR="00154B1D" w:rsidRDefault="00FC6189" w:rsidP="00FC6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/>
                <w:sz w:val="24"/>
                <w:szCs w:val="24"/>
              </w:rPr>
              <w:t>: l’esprit critique face vis-à-vis de l’information disponible</w:t>
            </w:r>
            <w:r w:rsidRPr="00B31469">
              <w:rPr>
                <w:rFonts w:ascii="EurostileRegular" w:hAnsi="EurostileRegular"/>
                <w:sz w:val="24"/>
                <w:szCs w:val="24"/>
              </w:rPr>
              <w:t>.</w:t>
            </w:r>
          </w:p>
          <w:p w:rsidR="00154B1D" w:rsidRDefault="00154B1D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154B1D" w:rsidRPr="005F2002" w:rsidRDefault="00154B1D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154B1D">
              <w:rPr>
                <w:rFonts w:ascii="EurostileRegular" w:hAnsi="EurostileRegular" w:cs="EurostileRegular"/>
                <w:sz w:val="24"/>
              </w:rPr>
              <w:t>En formation et en évaluation situations conduisant à observer à l’aide d’une simulation informatique la fluctuation d’une fréquence</w:t>
            </w:r>
            <w:r>
              <w:rPr>
                <w:rFonts w:ascii="EurostileRegular" w:hAnsi="EurostileRegular" w:cs="EurostileRegular"/>
                <w:sz w:val="24"/>
              </w:rPr>
              <w:t>.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FC6189" w:rsidRDefault="00FC6189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8D4DE1" w:rsidRDefault="00BA586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>: Travail principalement collectif</w:t>
            </w:r>
          </w:p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8D4DE1" w:rsidRPr="005845CB" w:rsidTr="008D4D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8D4DE1" w:rsidRPr="005845CB" w:rsidTr="00BA5861">
        <w:trPr>
          <w:trHeight w:val="618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8D4DE1" w:rsidRPr="005F2002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MATÉRIEL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8D4DE1" w:rsidRPr="005F2002" w:rsidRDefault="008D4DE1" w:rsidP="009C3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BD603B">
              <w:rPr>
                <w:rFonts w:ascii="EurostileRegular" w:hAnsi="EurostileRegular" w:cs="EurostileRegular"/>
                <w:sz w:val="24"/>
              </w:rPr>
              <w:t>Planche de Galton, billes, o</w:t>
            </w:r>
            <w:r>
              <w:rPr>
                <w:rFonts w:ascii="EurostileRegular" w:hAnsi="EurostileRegular" w:cs="EurostileRegular"/>
                <w:sz w:val="24"/>
              </w:rPr>
              <w:t>rdinateurs</w:t>
            </w:r>
            <w:r w:rsidR="009C3039">
              <w:rPr>
                <w:rFonts w:ascii="EurostileRegular" w:hAnsi="EurostileRegular" w:cs="EurostileRegular"/>
                <w:sz w:val="24"/>
              </w:rPr>
              <w:t xml:space="preserve"> avec tableur, </w:t>
            </w:r>
            <w:r>
              <w:rPr>
                <w:rFonts w:ascii="EurostileRegular" w:hAnsi="EurostileRegular" w:cs="EurostileRegular"/>
                <w:sz w:val="24"/>
              </w:rPr>
              <w:t>vidéoprojecteur.</w:t>
            </w:r>
          </w:p>
        </w:tc>
      </w:tr>
    </w:tbl>
    <w:p w:rsidR="00E1070C" w:rsidRDefault="009D492F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15.05pt;width:179.7pt;height:23.5pt;z-index:251657728;mso-position-horizontal-relative:text;mso-position-vertical-relative:text" fillcolor="#7030a0">
            <v:textbox style="mso-next-textbox:#_x0000_s1026">
              <w:txbxContent>
                <w:p w:rsidR="00E1070C" w:rsidRPr="00934E8A" w:rsidRDefault="006D176B" w:rsidP="00E1070C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p w:rsidR="00E1070C" w:rsidRDefault="00E1070C"/>
    <w:p w:rsidR="00D76865" w:rsidRDefault="00D76865" w:rsidP="008D4DE1">
      <w:pPr>
        <w:spacing w:after="0" w:line="240" w:lineRule="auto"/>
      </w:pPr>
    </w:p>
    <w:tbl>
      <w:tblPr>
        <w:tblpPr w:leftFromText="141" w:rightFromText="141" w:vertAnchor="page" w:horzAnchor="margin" w:tblpY="1276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10307"/>
      </w:tblGrid>
      <w:tr w:rsidR="008D4DE1" w:rsidRPr="005845CB" w:rsidTr="008D4DE1">
        <w:trPr>
          <w:trHeight w:val="13322"/>
        </w:trPr>
        <w:tc>
          <w:tcPr>
            <w:tcW w:w="10307" w:type="dxa"/>
          </w:tcPr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lastRenderedPageBreak/>
              <w:br w:type="page"/>
            </w:r>
          </w:p>
          <w:p w:rsidR="008D4DE1" w:rsidRPr="00C87EF0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40"/>
                <w:szCs w:val="40"/>
              </w:rPr>
            </w:pPr>
            <w:r w:rsidRPr="00C87EF0">
              <w:rPr>
                <w:rFonts w:ascii="CopperplateGothic-Bold" w:hAnsi="CopperplateGothic-Bold" w:cs="CopperplateGothic-Bold"/>
                <w:b/>
                <w:bCs/>
                <w:color w:val="000081"/>
                <w:sz w:val="40"/>
                <w:szCs w:val="40"/>
              </w:rPr>
              <w:t>MISE EN SITUATION</w:t>
            </w:r>
          </w:p>
          <w:p w:rsidR="008D4DE1" w:rsidRDefault="008D4DE1" w:rsidP="008D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8D4DE1" w:rsidRPr="00154B1D" w:rsidRDefault="00154B1D" w:rsidP="0015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154B1D">
              <w:rPr>
                <w:b/>
                <w:color w:val="FF0000"/>
                <w:sz w:val="40"/>
                <w:szCs w:val="40"/>
                <w:u w:val="single"/>
              </w:rPr>
              <w:t>LA PLANCHE DE GALTON</w:t>
            </w:r>
          </w:p>
          <w:p w:rsidR="00154B1D" w:rsidRPr="00154B1D" w:rsidRDefault="00154B1D" w:rsidP="0015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D4DE1" w:rsidRDefault="00154B1D" w:rsidP="0015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12"/>
                <w:szCs w:val="12"/>
              </w:rPr>
            </w:pPr>
            <w:r>
              <w:rPr>
                <w:rFonts w:ascii="CopperplateGothic-Bold" w:hAnsi="CopperplateGothic-Bold" w:cs="CopperplateGothic-Bold"/>
                <w:b/>
                <w:bCs/>
                <w:noProof/>
                <w:color w:val="000081"/>
                <w:sz w:val="12"/>
                <w:szCs w:val="12"/>
                <w:lang w:eastAsia="fr-FR" w:bidi="ar-SA"/>
              </w:rPr>
              <w:drawing>
                <wp:inline distT="0" distB="0" distL="0" distR="0">
                  <wp:extent cx="3643313" cy="4857750"/>
                  <wp:effectExtent l="19050" t="0" r="0" b="0"/>
                  <wp:docPr id="2" name="Image 1" descr="DSC0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47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737" cy="485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B1D" w:rsidRDefault="00154B1D" w:rsidP="0015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12"/>
                <w:szCs w:val="12"/>
              </w:rPr>
            </w:pPr>
          </w:p>
          <w:p w:rsidR="00C563D6" w:rsidRDefault="00154B1D" w:rsidP="00C56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B1D">
              <w:rPr>
                <w:rFonts w:ascii="Times New Roman" w:hAnsi="Times New Roman"/>
                <w:sz w:val="28"/>
                <w:szCs w:val="28"/>
              </w:rPr>
              <w:t xml:space="preserve">La planche de Galton est une planche comportant </w:t>
            </w:r>
            <w:r w:rsidR="00C563D6">
              <w:rPr>
                <w:rFonts w:ascii="Times New Roman" w:hAnsi="Times New Roman"/>
                <w:sz w:val="28"/>
                <w:szCs w:val="28"/>
              </w:rPr>
              <w:t xml:space="preserve">des </w:t>
            </w:r>
            <w:r>
              <w:rPr>
                <w:rFonts w:ascii="Times New Roman" w:hAnsi="Times New Roman"/>
                <w:sz w:val="28"/>
                <w:szCs w:val="28"/>
              </w:rPr>
              <w:t>clous</w:t>
            </w:r>
            <w:r w:rsidR="00C563D6">
              <w:rPr>
                <w:rFonts w:ascii="Times New Roman" w:hAnsi="Times New Roman"/>
                <w:sz w:val="28"/>
                <w:szCs w:val="28"/>
              </w:rPr>
              <w:t xml:space="preserve"> formant un triangle</w:t>
            </w:r>
            <w:r w:rsidRPr="00154B1D">
              <w:rPr>
                <w:rFonts w:ascii="Times New Roman" w:hAnsi="Times New Roman"/>
                <w:sz w:val="28"/>
                <w:szCs w:val="28"/>
              </w:rPr>
              <w:t xml:space="preserve">. La distance entre les </w:t>
            </w:r>
            <w:r>
              <w:rPr>
                <w:rFonts w:ascii="Times New Roman" w:hAnsi="Times New Roman"/>
                <w:sz w:val="28"/>
                <w:szCs w:val="28"/>
              </w:rPr>
              <w:t>clous</w:t>
            </w:r>
            <w:r w:rsidRPr="00154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3D6" w:rsidRPr="00154B1D">
              <w:rPr>
                <w:rFonts w:ascii="Times New Roman" w:hAnsi="Times New Roman"/>
                <w:sz w:val="28"/>
                <w:szCs w:val="28"/>
              </w:rPr>
              <w:t>disposés</w:t>
            </w:r>
            <w:r w:rsidRPr="00154B1D">
              <w:rPr>
                <w:rFonts w:ascii="Times New Roman" w:hAnsi="Times New Roman"/>
                <w:sz w:val="28"/>
                <w:szCs w:val="28"/>
              </w:rPr>
              <w:t xml:space="preserve"> en ligne est </w:t>
            </w:r>
            <w:r w:rsidR="00C563D6">
              <w:rPr>
                <w:rFonts w:ascii="Times New Roman" w:hAnsi="Times New Roman"/>
                <w:sz w:val="28"/>
                <w:szCs w:val="28"/>
              </w:rPr>
              <w:t>identique.</w:t>
            </w:r>
            <w:r w:rsidRPr="00154B1D">
              <w:rPr>
                <w:rFonts w:ascii="Times New Roman" w:hAnsi="Times New Roman"/>
                <w:sz w:val="28"/>
                <w:szCs w:val="28"/>
              </w:rPr>
              <w:t xml:space="preserve"> 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incline la planche </w:t>
            </w:r>
            <w:r w:rsidRPr="00154B1D">
              <w:rPr>
                <w:rFonts w:ascii="Times New Roman" w:hAnsi="Times New Roman"/>
                <w:sz w:val="28"/>
                <w:szCs w:val="28"/>
              </w:rPr>
              <w:t>et on lâche une bille à partir du sommet du triangle.</w:t>
            </w:r>
            <w:r w:rsidR="00C563D6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="00C563D6" w:rsidRPr="00154B1D">
              <w:rPr>
                <w:rFonts w:ascii="Times New Roman" w:hAnsi="Times New Roman"/>
                <w:sz w:val="28"/>
                <w:szCs w:val="28"/>
              </w:rPr>
              <w:t xml:space="preserve">es </w:t>
            </w:r>
            <w:r w:rsidR="00C563D6">
              <w:rPr>
                <w:rFonts w:ascii="Times New Roman" w:hAnsi="Times New Roman"/>
                <w:sz w:val="28"/>
                <w:szCs w:val="28"/>
              </w:rPr>
              <w:t>couloir</w:t>
            </w:r>
            <w:r w:rsidR="00C563D6" w:rsidRPr="00154B1D">
              <w:rPr>
                <w:rFonts w:ascii="Times New Roman" w:hAnsi="Times New Roman"/>
                <w:sz w:val="28"/>
                <w:szCs w:val="28"/>
              </w:rPr>
              <w:t>s sont disposés en bas de la planche pour accueillir la bille.</w:t>
            </w:r>
          </w:p>
          <w:p w:rsidR="00C563D6" w:rsidRPr="00154B1D" w:rsidRDefault="00C563D6" w:rsidP="00C56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3D6" w:rsidRDefault="00154B1D" w:rsidP="00C5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3D6">
              <w:rPr>
                <w:rFonts w:ascii="Times New Roman" w:hAnsi="Times New Roman"/>
                <w:sz w:val="28"/>
                <w:szCs w:val="28"/>
              </w:rPr>
              <w:t xml:space="preserve">Dans </w:t>
            </w:r>
            <w:r w:rsidR="00C563D6" w:rsidRPr="00C563D6">
              <w:rPr>
                <w:rFonts w:ascii="Times New Roman" w:hAnsi="Times New Roman"/>
                <w:sz w:val="28"/>
                <w:szCs w:val="28"/>
              </w:rPr>
              <w:t>quel</w:t>
            </w:r>
            <w:r w:rsidRPr="00C56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3D6" w:rsidRPr="00C563D6">
              <w:rPr>
                <w:rFonts w:ascii="Times New Roman" w:hAnsi="Times New Roman"/>
                <w:sz w:val="28"/>
                <w:szCs w:val="28"/>
              </w:rPr>
              <w:t>couloir</w:t>
            </w:r>
            <w:r w:rsidRPr="00C563D6">
              <w:rPr>
                <w:rFonts w:ascii="Times New Roman" w:hAnsi="Times New Roman"/>
                <w:sz w:val="28"/>
                <w:szCs w:val="28"/>
              </w:rPr>
              <w:t xml:space="preserve"> la bille va-t-elle tomber?</w:t>
            </w:r>
          </w:p>
          <w:p w:rsidR="00C563D6" w:rsidRDefault="00C563D6" w:rsidP="00C5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4B1D" w:rsidRPr="00C563D6" w:rsidRDefault="00C563D6" w:rsidP="00C5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1"/>
                <w:sz w:val="28"/>
                <w:szCs w:val="28"/>
              </w:rPr>
            </w:pPr>
            <w:r w:rsidRPr="00C563D6">
              <w:rPr>
                <w:rFonts w:ascii="Times New Roman" w:hAnsi="Times New Roman"/>
                <w:sz w:val="28"/>
                <w:szCs w:val="28"/>
              </w:rPr>
              <w:t xml:space="preserve">Y a-t-il </w:t>
            </w:r>
            <w:r>
              <w:rPr>
                <w:rFonts w:ascii="Times New Roman" w:hAnsi="Times New Roman"/>
                <w:sz w:val="28"/>
                <w:szCs w:val="28"/>
              </w:rPr>
              <w:t>un couloir</w:t>
            </w:r>
            <w:r w:rsidRPr="00C563D6">
              <w:rPr>
                <w:rFonts w:ascii="Times New Roman" w:hAnsi="Times New Roman"/>
                <w:sz w:val="28"/>
                <w:szCs w:val="28"/>
              </w:rPr>
              <w:t xml:space="preserve"> qu’il vaut mieux choisir pour avoir le plus de chance de gagner ?</w:t>
            </w:r>
          </w:p>
        </w:tc>
      </w:tr>
    </w:tbl>
    <w:p w:rsidR="008D4DE1" w:rsidRDefault="008D4DE1" w:rsidP="009C5BEC">
      <w:pPr>
        <w:spacing w:line="240" w:lineRule="auto"/>
      </w:pPr>
    </w:p>
    <w:sectPr w:rsidR="008D4DE1" w:rsidSect="00E1070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64" w:rsidRDefault="00D27164" w:rsidP="00D901F5">
      <w:pPr>
        <w:spacing w:after="0" w:line="240" w:lineRule="auto"/>
      </w:pPr>
      <w:r>
        <w:separator/>
      </w:r>
    </w:p>
  </w:endnote>
  <w:endnote w:type="continuationSeparator" w:id="0">
    <w:p w:rsidR="00D27164" w:rsidRDefault="00D27164" w:rsidP="00D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64" w:rsidRDefault="00D27164" w:rsidP="00D901F5">
      <w:pPr>
        <w:spacing w:after="0" w:line="240" w:lineRule="auto"/>
      </w:pPr>
      <w:r>
        <w:separator/>
      </w:r>
    </w:p>
  </w:footnote>
  <w:footnote w:type="continuationSeparator" w:id="0">
    <w:p w:rsidR="00D27164" w:rsidRDefault="00D27164" w:rsidP="00D9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C85"/>
    <w:multiLevelType w:val="hybridMultilevel"/>
    <w:tmpl w:val="A8764528"/>
    <w:lvl w:ilvl="0" w:tplc="9894CFCE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pperplateGothic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A82"/>
    <w:multiLevelType w:val="singleLevel"/>
    <w:tmpl w:val="B8D8C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1070C"/>
    <w:rsid w:val="00015F9F"/>
    <w:rsid w:val="00023B47"/>
    <w:rsid w:val="00024959"/>
    <w:rsid w:val="00047B82"/>
    <w:rsid w:val="00064E57"/>
    <w:rsid w:val="000C6070"/>
    <w:rsid w:val="000C70DC"/>
    <w:rsid w:val="00100A55"/>
    <w:rsid w:val="00141252"/>
    <w:rsid w:val="00142760"/>
    <w:rsid w:val="00154B1D"/>
    <w:rsid w:val="0019380C"/>
    <w:rsid w:val="0020255F"/>
    <w:rsid w:val="00253580"/>
    <w:rsid w:val="00265FCB"/>
    <w:rsid w:val="002C78A4"/>
    <w:rsid w:val="002E4B87"/>
    <w:rsid w:val="00313033"/>
    <w:rsid w:val="00331B53"/>
    <w:rsid w:val="00351393"/>
    <w:rsid w:val="003557B9"/>
    <w:rsid w:val="003B3577"/>
    <w:rsid w:val="004036BC"/>
    <w:rsid w:val="00405625"/>
    <w:rsid w:val="004139DA"/>
    <w:rsid w:val="00431954"/>
    <w:rsid w:val="0043221B"/>
    <w:rsid w:val="00477766"/>
    <w:rsid w:val="004860F6"/>
    <w:rsid w:val="0049199D"/>
    <w:rsid w:val="004C234D"/>
    <w:rsid w:val="0055528F"/>
    <w:rsid w:val="005820A7"/>
    <w:rsid w:val="0059369A"/>
    <w:rsid w:val="005A1C48"/>
    <w:rsid w:val="005C79B5"/>
    <w:rsid w:val="005F7BF7"/>
    <w:rsid w:val="0060362F"/>
    <w:rsid w:val="00620558"/>
    <w:rsid w:val="0063795E"/>
    <w:rsid w:val="00641A74"/>
    <w:rsid w:val="00662F52"/>
    <w:rsid w:val="00663D3A"/>
    <w:rsid w:val="00681686"/>
    <w:rsid w:val="00697ADA"/>
    <w:rsid w:val="006C02CD"/>
    <w:rsid w:val="006D176B"/>
    <w:rsid w:val="006E0334"/>
    <w:rsid w:val="0072459B"/>
    <w:rsid w:val="00731AA4"/>
    <w:rsid w:val="007554A3"/>
    <w:rsid w:val="00763CFF"/>
    <w:rsid w:val="00787583"/>
    <w:rsid w:val="007A3974"/>
    <w:rsid w:val="007D7E55"/>
    <w:rsid w:val="007E54CC"/>
    <w:rsid w:val="007F2932"/>
    <w:rsid w:val="0081677F"/>
    <w:rsid w:val="008211B5"/>
    <w:rsid w:val="00837605"/>
    <w:rsid w:val="00875DB3"/>
    <w:rsid w:val="008B2A26"/>
    <w:rsid w:val="008D4DE1"/>
    <w:rsid w:val="00946DE6"/>
    <w:rsid w:val="0097654E"/>
    <w:rsid w:val="009B07D9"/>
    <w:rsid w:val="009B6794"/>
    <w:rsid w:val="009C3039"/>
    <w:rsid w:val="009C5BEC"/>
    <w:rsid w:val="009D492F"/>
    <w:rsid w:val="00A20AE2"/>
    <w:rsid w:val="00A22D25"/>
    <w:rsid w:val="00A338F0"/>
    <w:rsid w:val="00A37244"/>
    <w:rsid w:val="00A73168"/>
    <w:rsid w:val="00AB2A65"/>
    <w:rsid w:val="00AB55CA"/>
    <w:rsid w:val="00AC3335"/>
    <w:rsid w:val="00B06632"/>
    <w:rsid w:val="00B31469"/>
    <w:rsid w:val="00B629BA"/>
    <w:rsid w:val="00B672B9"/>
    <w:rsid w:val="00B84172"/>
    <w:rsid w:val="00BA5861"/>
    <w:rsid w:val="00BB192C"/>
    <w:rsid w:val="00BC6F23"/>
    <w:rsid w:val="00BD603B"/>
    <w:rsid w:val="00BE1C4E"/>
    <w:rsid w:val="00C367AB"/>
    <w:rsid w:val="00C563D6"/>
    <w:rsid w:val="00C87EF0"/>
    <w:rsid w:val="00CB7D7B"/>
    <w:rsid w:val="00CC00D3"/>
    <w:rsid w:val="00D27164"/>
    <w:rsid w:val="00D711C3"/>
    <w:rsid w:val="00D76865"/>
    <w:rsid w:val="00D901F5"/>
    <w:rsid w:val="00D96C25"/>
    <w:rsid w:val="00DD4E33"/>
    <w:rsid w:val="00DF418C"/>
    <w:rsid w:val="00E1070C"/>
    <w:rsid w:val="00E1451F"/>
    <w:rsid w:val="00E32585"/>
    <w:rsid w:val="00E4119C"/>
    <w:rsid w:val="00E56804"/>
    <w:rsid w:val="00E864FC"/>
    <w:rsid w:val="00E915EA"/>
    <w:rsid w:val="00E924C4"/>
    <w:rsid w:val="00EA4A3C"/>
    <w:rsid w:val="00ED12E3"/>
    <w:rsid w:val="00EF47B3"/>
    <w:rsid w:val="00F01031"/>
    <w:rsid w:val="00F5750C"/>
    <w:rsid w:val="00F7575B"/>
    <w:rsid w:val="00F8391D"/>
    <w:rsid w:val="00F950F2"/>
    <w:rsid w:val="00FB5641"/>
    <w:rsid w:val="00FC6189"/>
    <w:rsid w:val="00FD2F56"/>
    <w:rsid w:val="00FD366E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C"/>
    <w:pPr>
      <w:spacing w:after="200" w:line="276" w:lineRule="auto"/>
    </w:pPr>
    <w:rPr>
      <w:rFonts w:eastAsia="Times New Roman"/>
      <w:sz w:val="22"/>
      <w:szCs w:val="22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5FCB"/>
    <w:rPr>
      <w:rFonts w:ascii="Tahoma" w:eastAsia="Times New Roman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D90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01F5"/>
    <w:rPr>
      <w:rFonts w:eastAsia="Times New Roman"/>
      <w:sz w:val="22"/>
      <w:szCs w:val="22"/>
      <w:lang w:eastAsia="en-US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90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1F5"/>
    <w:rPr>
      <w:rFonts w:eastAsia="Times New Roman"/>
      <w:sz w:val="22"/>
      <w:szCs w:val="22"/>
      <w:lang w:eastAsia="en-US" w:bidi="fr-FR"/>
    </w:rPr>
  </w:style>
  <w:style w:type="paragraph" w:styleId="Paragraphedeliste">
    <w:name w:val="List Paragraph"/>
    <w:basedOn w:val="Normal"/>
    <w:uiPriority w:val="34"/>
    <w:qFormat/>
    <w:rsid w:val="001412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554A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CB7D7B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TW" w:bidi="he-IL"/>
    </w:rPr>
  </w:style>
  <w:style w:type="character" w:customStyle="1" w:styleId="CorpsdetexteCar">
    <w:name w:val="Corps de texte Car"/>
    <w:basedOn w:val="Policepardfaut"/>
    <w:link w:val="Corpsdetexte"/>
    <w:semiHidden/>
    <w:rsid w:val="00CB7D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JF</cp:lastModifiedBy>
  <cp:revision>12</cp:revision>
  <dcterms:created xsi:type="dcterms:W3CDTF">2013-12-05T13:47:00Z</dcterms:created>
  <dcterms:modified xsi:type="dcterms:W3CDTF">2014-03-16T09:48:00Z</dcterms:modified>
</cp:coreProperties>
</file>